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hint="eastAsia" w:ascii="Microsoft Yahei" w:hAnsi="Microsoft Yahei" w:cs="Microsoft Yahei"/>
          <w:b w:val="0"/>
          <w:i w:val="0"/>
          <w:caps w:val="0"/>
          <w:color w:val="000000"/>
          <w:spacing w:val="0"/>
          <w:sz w:val="36"/>
          <w:szCs w:val="36"/>
          <w:bdr w:val="none" w:color="auto" w:sz="0" w:space="0"/>
          <w:shd w:val="clear" w:fill="FFFFFF"/>
          <w:lang w:eastAsia="zh-CN"/>
        </w:rPr>
      </w:pPr>
      <w:r>
        <w:rPr>
          <w:rFonts w:hint="default" w:ascii="Microsoft Yahei" w:hAnsi="Microsoft Yahei" w:eastAsia="Microsoft Yahei" w:cs="Microsoft Yahei"/>
          <w:b w:val="0"/>
          <w:i w:val="0"/>
          <w:caps w:val="0"/>
          <w:color w:val="000000"/>
          <w:spacing w:val="0"/>
          <w:sz w:val="36"/>
          <w:szCs w:val="36"/>
          <w:bdr w:val="none" w:color="auto" w:sz="0" w:space="0"/>
          <w:shd w:val="clear" w:fill="FFFFFF"/>
        </w:rPr>
        <w:t>培训处</w:t>
      </w:r>
      <w:r>
        <w:rPr>
          <w:rFonts w:hint="eastAsia" w:ascii="Microsoft Yahei" w:hAnsi="Microsoft Yahei" w:cs="Microsoft Yahei"/>
          <w:b w:val="0"/>
          <w:i w:val="0"/>
          <w:caps w:val="0"/>
          <w:color w:val="000000"/>
          <w:spacing w:val="0"/>
          <w:sz w:val="36"/>
          <w:szCs w:val="36"/>
          <w:bdr w:val="none" w:color="auto" w:sz="0" w:space="0"/>
          <w:shd w:val="clear" w:fill="FFFFFF"/>
          <w:lang w:eastAsia="zh-CN"/>
        </w:rPr>
        <w:t>暑期</w:t>
      </w:r>
      <w:r>
        <w:rPr>
          <w:rFonts w:hint="default" w:ascii="Microsoft Yahei" w:hAnsi="Microsoft Yahei" w:eastAsia="Microsoft Yahei" w:cs="Microsoft Yahei"/>
          <w:b w:val="0"/>
          <w:i w:val="0"/>
          <w:caps w:val="0"/>
          <w:color w:val="000000"/>
          <w:spacing w:val="0"/>
          <w:sz w:val="36"/>
          <w:szCs w:val="36"/>
          <w:bdr w:val="none" w:color="auto" w:sz="0" w:space="0"/>
          <w:shd w:val="clear" w:fill="FFFFFF"/>
        </w:rPr>
        <w:t>考试</w:t>
      </w:r>
      <w:r>
        <w:rPr>
          <w:rFonts w:hint="eastAsia" w:ascii="Microsoft Yahei" w:hAnsi="Microsoft Yahei" w:cs="Microsoft Yahei"/>
          <w:b w:val="0"/>
          <w:i w:val="0"/>
          <w:caps w:val="0"/>
          <w:color w:val="000000"/>
          <w:spacing w:val="0"/>
          <w:sz w:val="36"/>
          <w:szCs w:val="36"/>
          <w:bdr w:val="none" w:color="auto" w:sz="0" w:space="0"/>
          <w:shd w:val="clear" w:fill="FFFFFF"/>
          <w:lang w:eastAsia="zh-CN"/>
        </w:rPr>
        <w:t>经贸部微机室及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ascii="Microsoft Yahei" w:hAnsi="Microsoft Yahei" w:eastAsia="Microsoft Yahei" w:cs="Microsoft Yahei"/>
          <w:b w:val="0"/>
          <w:i w:val="0"/>
          <w:caps w:val="0"/>
          <w:color w:val="000000"/>
          <w:spacing w:val="0"/>
          <w:sz w:val="36"/>
          <w:szCs w:val="36"/>
        </w:rPr>
      </w:pPr>
      <w:bookmarkStart w:id="0" w:name="_GoBack"/>
      <w:bookmarkEnd w:id="0"/>
      <w:r>
        <w:rPr>
          <w:rFonts w:hint="eastAsia" w:ascii="Microsoft Yahei" w:hAnsi="Microsoft Yahei" w:cs="Microsoft Yahei"/>
          <w:b w:val="0"/>
          <w:i w:val="0"/>
          <w:caps w:val="0"/>
          <w:color w:val="000000"/>
          <w:spacing w:val="0"/>
          <w:sz w:val="36"/>
          <w:szCs w:val="36"/>
          <w:bdr w:val="none" w:color="auto" w:sz="0" w:space="0"/>
          <w:shd w:val="clear" w:fill="FFFFFF"/>
          <w:lang w:eastAsia="zh-CN"/>
        </w:rPr>
        <w:t>机电部五</w:t>
      </w:r>
      <w:r>
        <w:rPr>
          <w:rFonts w:hint="default" w:ascii="Microsoft Yahei" w:hAnsi="Microsoft Yahei" w:eastAsia="Microsoft Yahei" w:cs="Microsoft Yahei"/>
          <w:b w:val="0"/>
          <w:i w:val="0"/>
          <w:caps w:val="0"/>
          <w:color w:val="000000"/>
          <w:spacing w:val="0"/>
          <w:sz w:val="36"/>
          <w:szCs w:val="36"/>
          <w:bdr w:val="none" w:color="auto" w:sz="0" w:space="0"/>
          <w:shd w:val="clear" w:fill="FFFFFF"/>
        </w:rPr>
        <w:t>机房设备采购询价公告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480" w:right="0" w:hanging="480" w:hangingChars="20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right="0" w:firstLine="480" w:firstLineChars="20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我校培训处暑期培训考试在即，按备考工作需要，经检测，急需在经贸部微机室和机电部五机房添置如下设备：（1）经贸部微机室需要采购（含安装）USB键盘鼠标18套、24口交换机6台、24吋显示器1台，预算5810元；（2）机电部五机房需要采购（含安装）联想商用电脑H61主板10块，预算2400元；（3）以上预算合计8210元。现公开询价以确定供应商。</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按照政府采购规定，欢迎各供应商参与本项目建设的投标报价，本项目的采购总预算为人民币8210元，各供应商须到我校相关微机室、机房场地实地勘察（咨询电话：0714-6372590、学校培训处）后报价，投标报价函文件须盖章、并提供营业执照复印件，用档案袋密封，封面注明投标名称、联系人、联系电话。投标报价文件请于2020年7月19日11:00前送交学校总务处，地址：黄石市发展大道155号（湖北城市职业学校），联系人：李老师15072056627。</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br w:type="textWrapping"/>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本项目为交钥匙工程，供货安装等费用包干（包干价，系含供货的设备、配件、运输、检测、安装、人工、税费、安全保险等一切费用）。学校公开询价小组按同等条件下本项目投标报价的总报价最低者成交，成交结果经学校党政联席会研究通过后直接通知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right="0"/>
        <w:jc w:val="righ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湖北城市职业学校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right="0"/>
        <w:jc w:val="right"/>
        <w:rPr>
          <w:rFonts w:hint="default"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2020年7月17日</w:t>
      </w:r>
    </w:p>
    <w:tbl>
      <w:tblPr>
        <w:tblStyle w:val="3"/>
        <w:tblW w:w="0" w:type="auto"/>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wAfter w:w="236" w:type="dxa"/>
          <w:trHeight w:val="974"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我校培训处暑期培训考试在即，按备考工作需要，经检测，急需在经贸部微机室和机电部五机房添置如下设备：（1）经贸部微机室需要采购（含安装）USB键盘鼠标18套、24口交换机6台、24吋显示器1台，预算5810元；（2）机电部五机房需要采购（含安装）联想商用电脑H61主板10块，预算2400元；（3）以上预算合计8210元。</w:t>
            </w:r>
          </w:p>
        </w:tc>
      </w:tr>
      <w:tr>
        <w:tblPrEx>
          <w:tblCellMar>
            <w:top w:w="0" w:type="dxa"/>
            <w:left w:w="108" w:type="dxa"/>
            <w:bottom w:w="0" w:type="dxa"/>
            <w:right w:w="108" w:type="dxa"/>
          </w:tblCellMar>
        </w:tblPrEx>
        <w:trPr>
          <w:wAfter w:w="236" w:type="dxa"/>
          <w:trHeight w:val="436"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noWrap w:val="0"/>
            <w:vAlign w:val="top"/>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wAfter w:w="236" w:type="dxa"/>
          <w:trHeight w:val="41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键盘鼠标</w:t>
            </w:r>
          </w:p>
        </w:tc>
        <w:tc>
          <w:tcPr>
            <w:tcW w:w="1374"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USB</w:t>
            </w:r>
          </w:p>
        </w:tc>
        <w:tc>
          <w:tcPr>
            <w:tcW w:w="1225" w:type="dxa"/>
            <w:tcBorders>
              <w:top w:val="single" w:color="000000" w:sz="4" w:space="0"/>
              <w:left w:val="nil"/>
              <w:bottom w:val="single" w:color="000000" w:sz="4" w:space="0"/>
              <w:right w:val="single" w:color="000000" w:sz="12"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套</w:t>
            </w:r>
          </w:p>
        </w:tc>
        <w:tc>
          <w:tcPr>
            <w:tcW w:w="1332" w:type="dxa"/>
            <w:tcBorders>
              <w:top w:val="single" w:color="000000" w:sz="4" w:space="0"/>
              <w:left w:val="nil"/>
              <w:bottom w:val="single" w:color="000000" w:sz="4" w:space="0"/>
              <w:right w:val="single" w:color="000000" w:sz="4" w:space="0"/>
            </w:tcBorders>
            <w:noWrap w:val="0"/>
            <w:vAlign w:val="top"/>
          </w:tcPr>
          <w:p>
            <w:pPr>
              <w:jc w:val="left"/>
              <w:outlineLvl w:val="1"/>
              <w:rPr>
                <w:rFonts w:hint="default"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18</w:t>
            </w:r>
          </w:p>
        </w:tc>
        <w:tc>
          <w:tcPr>
            <w:tcW w:w="1027"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236" w:type="dxa"/>
          <w:trHeight w:val="40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交换机</w:t>
            </w:r>
          </w:p>
        </w:tc>
        <w:tc>
          <w:tcPr>
            <w:tcW w:w="1374"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24口</w:t>
            </w:r>
          </w:p>
        </w:tc>
        <w:tc>
          <w:tcPr>
            <w:tcW w:w="1225" w:type="dxa"/>
            <w:tcBorders>
              <w:top w:val="single" w:color="000000" w:sz="4" w:space="0"/>
              <w:left w:val="nil"/>
              <w:bottom w:val="single" w:color="000000" w:sz="4" w:space="0"/>
              <w:right w:val="single" w:color="000000" w:sz="12"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台</w:t>
            </w:r>
          </w:p>
        </w:tc>
        <w:tc>
          <w:tcPr>
            <w:tcW w:w="1332" w:type="dxa"/>
            <w:tcBorders>
              <w:top w:val="single" w:color="000000" w:sz="4" w:space="0"/>
              <w:left w:val="nil"/>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6</w:t>
            </w:r>
          </w:p>
        </w:tc>
        <w:tc>
          <w:tcPr>
            <w:tcW w:w="1027"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236" w:type="dxa"/>
          <w:trHeight w:val="455"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显示器</w:t>
            </w:r>
          </w:p>
        </w:tc>
        <w:tc>
          <w:tcPr>
            <w:tcW w:w="1374"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24吋</w:t>
            </w:r>
          </w:p>
        </w:tc>
        <w:tc>
          <w:tcPr>
            <w:tcW w:w="1225" w:type="dxa"/>
            <w:tcBorders>
              <w:top w:val="single" w:color="000000" w:sz="4" w:space="0"/>
              <w:left w:val="nil"/>
              <w:bottom w:val="single" w:color="000000" w:sz="4" w:space="0"/>
              <w:right w:val="single" w:color="000000" w:sz="12"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台</w:t>
            </w:r>
          </w:p>
        </w:tc>
        <w:tc>
          <w:tcPr>
            <w:tcW w:w="1332" w:type="dxa"/>
            <w:tcBorders>
              <w:top w:val="single" w:color="000000" w:sz="4" w:space="0"/>
              <w:left w:val="nil"/>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236" w:type="dxa"/>
          <w:trHeight w:val="365"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ascii="Calibri" w:hAnsi="Calibri" w:cs="黑体"/>
                <w:kern w:val="0"/>
                <w:sz w:val="22"/>
                <w:szCs w:val="22"/>
              </w:rPr>
            </w:pPr>
            <w:r>
              <w:rPr>
                <w:rFonts w:hint="eastAsia" w:ascii="宋体" w:hAnsi="宋体" w:eastAsia="宋体" w:cs="宋体"/>
                <w:i w:val="0"/>
                <w:caps w:val="0"/>
                <w:color w:val="000000"/>
                <w:spacing w:val="0"/>
                <w:kern w:val="0"/>
                <w:sz w:val="21"/>
                <w:szCs w:val="21"/>
                <w:shd w:val="clear" w:fill="FFFFFF"/>
                <w:lang w:val="en-US" w:eastAsia="zh-CN" w:bidi="ar"/>
              </w:rPr>
              <w:t>联想商用电脑H61主板</w:t>
            </w:r>
          </w:p>
        </w:tc>
        <w:tc>
          <w:tcPr>
            <w:tcW w:w="1374"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块</w:t>
            </w:r>
          </w:p>
        </w:tc>
        <w:tc>
          <w:tcPr>
            <w:tcW w:w="1332" w:type="dxa"/>
            <w:tcBorders>
              <w:top w:val="single" w:color="000000" w:sz="4" w:space="0"/>
              <w:left w:val="nil"/>
              <w:bottom w:val="single" w:color="000000" w:sz="4" w:space="0"/>
              <w:right w:val="single" w:color="000000" w:sz="4" w:space="0"/>
            </w:tcBorders>
            <w:noWrap w:val="0"/>
            <w:vAlign w:val="top"/>
          </w:tcPr>
          <w:p>
            <w:pPr>
              <w:jc w:val="left"/>
              <w:outlineLvl w:val="1"/>
              <w:rPr>
                <w:rFonts w:hint="default" w:ascii="Calibri" w:hAnsi="Calibri" w:cs="黑体" w:eastAsiaTheme="minorEastAsia"/>
                <w:kern w:val="0"/>
                <w:sz w:val="22"/>
                <w:szCs w:val="22"/>
                <w:lang w:val="en-US" w:eastAsia="zh-CN"/>
              </w:rPr>
            </w:pPr>
            <w:r>
              <w:rPr>
                <w:rFonts w:hint="eastAsia" w:ascii="Calibri" w:hAnsi="Calibri" w:cs="黑体"/>
                <w:kern w:val="0"/>
                <w:sz w:val="22"/>
                <w:szCs w:val="22"/>
                <w:lang w:val="en-US" w:eastAsia="zh-CN"/>
              </w:rPr>
              <w:t>10</w:t>
            </w:r>
          </w:p>
        </w:tc>
        <w:tc>
          <w:tcPr>
            <w:tcW w:w="1027"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236" w:type="dxa"/>
          <w:trHeight w:val="39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374"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noWrap w:val="0"/>
            <w:vAlign w:val="top"/>
          </w:tcPr>
          <w:p>
            <w:pPr>
              <w:jc w:val="left"/>
              <w:outlineLvl w:val="1"/>
              <w:rPr>
                <w:rFonts w:ascii="Calibri" w:hAnsi="Calibri" w:cs="黑体"/>
                <w:kern w:val="0"/>
                <w:sz w:val="22"/>
                <w:szCs w:val="22"/>
              </w:rPr>
            </w:pPr>
          </w:p>
        </w:tc>
        <w:tc>
          <w:tcPr>
            <w:tcW w:w="1332"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c>
          <w:tcPr>
            <w:tcW w:w="1027" w:type="dxa"/>
            <w:tcBorders>
              <w:top w:val="single" w:color="000000" w:sz="4" w:space="0"/>
              <w:left w:val="nil"/>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合计</w:t>
            </w:r>
          </w:p>
        </w:tc>
        <w:tc>
          <w:tcPr>
            <w:tcW w:w="1529"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wAfter w:w="236" w:type="dxa"/>
          <w:trHeight w:val="410"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投标总报价（大写）：</w:t>
            </w:r>
          </w:p>
        </w:tc>
      </w:tr>
    </w:tbl>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642D"/>
    <w:rsid w:val="04011ADF"/>
    <w:rsid w:val="494B36B7"/>
    <w:rsid w:val="6BB4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2020-07-17T07:17:00Z</dcterms:created>
  <dc:creator>1093350686@qq.com</dc:creator>
  <cp:lastModifiedBy>1093350686@qq.com</cp:lastModifiedBy>
  <dcterms:modified xsi:type="dcterms:W3CDTF">2020-07-17T07:38:44Z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